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104 II 299</w:t>
      </w:r>
    </w:p>
    <w:p>
      <w:r>
        <w:t>Bundesgericht (BGE), 1978-11-15, FR</w:t>
      </w:r>
    </w:p>
    <w:p>
      <w:r>
        <w:rPr>
          <w:b/>
        </w:rPr>
        <w:t xml:space="preserve">Quelle: </w:t>
      </w:r>
      <w:r>
        <w:t>https://mcp.opencaselaw.ch/entscheid/bge_104 II 299</w:t>
      </w:r>
    </w:p>
    <w:p>
      <w:r>
        <w:t>FR: ATF 104 II 299</w:t>
      </w:r>
    </w:p>
    <w:p>
      <w:r>
        <w:t>IT: DTF 104 II 299</w:t>
      </w:r>
    </w:p>
    <w:p>
      <w:pPr>
        <w:pStyle w:val="Heading2"/>
      </w:pPr>
      <w:r>
        <w:t>Regeste</w:t>
      </w:r>
    </w:p>
    <w:p>
      <w:r>
        <w:t>Regeste Vaterschaftsklage; serologisches Gutachten. Einem Vaterschaftsausschluss im System der sauren Erythrozytenphosphatase kommt eine Wahrscheinlichkeit von mindestens 99,8% zu (E. 2).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parties sont de nationalité italienne. L'Italie ayant adhéré à la Convention sur la loi applicable aux obligations alimentaires envers les enfants, conclue à La Haye le 24 octobre 1956 et entrée en vigueur pour la Suisse le 17 janvier 1965 BGE 104 II 299 S. 301 (RO 1964 pp. 1287 ss.), c'est à juste titre que les autorités cantonales ont appliqué à l'action le droit suisse en tant que loi de la résidence habituelle de l'enfant (art. premier de la convention).</w:t>
      </w:r>
    </w:p>
    <w:p>
      <w:r>
        <w:rPr>
          <w:b/>
        </w:rPr>
        <w:t>E. 2</w:t>
      </w:r>
    </w:p>
    <w:p>
      <w:r>
        <w:t>L'expertise des professeurs Hässig et Bütler confirme les conclusions du Dr Wuilleret: elle attribue à une exclusion de la paternité fondée sur les propriétés des phosphatases acides érythrocytaires un degré de vraisemblance de 99,8% au moins, si bien que, selon la jurisprudence, la paternité peut être considérée comme exclue, respectivement impossible avec une probabilité confinant à la certitude ( ATF 96 II 323 /324). D'autres moyens de preuve, en particulier la mise en oeuvre d'une expertise anthropo-hérédobiologique, sont dès lors superflus ( ATF 96 II 323 /324; cf. ATF 97 II 198 , ATF 101 II 16 ). Dans ces conditions, c'est avec raison que la Cour cantonale a refusé de faire procéder à l'expertise requise.</w:t>
      </w:r>
    </w:p>
    <w:p>
      <w:r>
        <w:rPr>
          <w:b/>
        </w:rPr>
        <w:t>E. 3</w:t>
      </w:r>
    </w:p>
    <w:p>
      <w:r>
        <w:t>Au vu de ce qui précède, le droit fédéral a été correctement appliqué: le recours doit donc être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